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B772A" w14:textId="77777777" w:rsidR="00874622" w:rsidRDefault="00874622" w:rsidP="00874622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EDITAL DE INTIMAÇÃO E LEILÃO</w:t>
      </w:r>
    </w:p>
    <w:p w14:paraId="6B974293" w14:textId="77777777" w:rsidR="00874622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4E1E3B6" w14:textId="77777777" w:rsidR="00874622" w:rsidRPr="003A32FC" w:rsidRDefault="00874622" w:rsidP="00874622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ELIZABETE </w:t>
      </w:r>
      <w:r w:rsidRPr="003A32FC">
        <w:rPr>
          <w:rFonts w:ascii="Arial" w:eastAsia="Arial" w:hAnsi="Arial" w:cs="Arial"/>
          <w:b/>
          <w:bCs/>
          <w:sz w:val="20"/>
          <w:szCs w:val="20"/>
        </w:rPr>
        <w:t>UBIALLI</w:t>
      </w:r>
      <w:r w:rsidRPr="003A32FC">
        <w:rPr>
          <w:rFonts w:ascii="Arial" w:eastAsia="Arial" w:hAnsi="Arial" w:cs="Arial"/>
          <w:sz w:val="20"/>
          <w:szCs w:val="20"/>
        </w:rPr>
        <w:t xml:space="preserve">, Leiloeira Pública Oficial – AARC/305, devidamente autorizado pelo Excelentíssimo(a) Senhor(a) Doutor(a) Juiz(a) do Trabalho da </w:t>
      </w:r>
      <w:r w:rsidRPr="003A32FC">
        <w:rPr>
          <w:rFonts w:ascii="Arial" w:eastAsia="Arial" w:hAnsi="Arial" w:cs="Arial"/>
          <w:b/>
          <w:bCs/>
          <w:sz w:val="20"/>
          <w:szCs w:val="20"/>
        </w:rPr>
        <w:t>Secretaria de Execução do TRT12 - SC</w:t>
      </w:r>
      <w:r w:rsidRPr="003A32FC">
        <w:rPr>
          <w:rFonts w:ascii="Arial" w:eastAsia="Arial" w:hAnsi="Arial" w:cs="Arial"/>
          <w:sz w:val="20"/>
          <w:szCs w:val="20"/>
        </w:rPr>
        <w:t xml:space="preserve">, levará a venda em </w:t>
      </w:r>
      <w:r w:rsidRPr="003A32FC">
        <w:rPr>
          <w:rFonts w:ascii="Arial" w:eastAsia="Arial" w:hAnsi="Arial" w:cs="Arial"/>
          <w:b/>
          <w:bCs/>
          <w:sz w:val="20"/>
          <w:szCs w:val="20"/>
        </w:rPr>
        <w:t>Leilão Público Eletrônico (Online)</w:t>
      </w:r>
      <w:r w:rsidRPr="003A32FC">
        <w:rPr>
          <w:rFonts w:ascii="Arial" w:eastAsia="Arial" w:hAnsi="Arial" w:cs="Arial"/>
          <w:sz w:val="20"/>
          <w:szCs w:val="20"/>
        </w:rPr>
        <w:t>, em dia e local adiante descritos, os bens penhorados nos processos abaixo relacionados, oportunidade em que poderão ser judicialmente expropriados, nos termos do art. 888, parágrafo 1º da CLT.</w:t>
      </w:r>
    </w:p>
    <w:p w14:paraId="08E97C96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05D3434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3A32FC">
        <w:rPr>
          <w:rFonts w:ascii="Arial" w:eastAsia="Arial" w:hAnsi="Arial" w:cs="Arial"/>
          <w:b/>
          <w:bCs/>
          <w:sz w:val="20"/>
          <w:szCs w:val="20"/>
        </w:rPr>
        <w:t xml:space="preserve">Início do Leilão: </w:t>
      </w:r>
      <w:bookmarkStart w:id="0" w:name="_Hlk244704342" w:colFirst="0" w:colLast="0"/>
      <w:r w:rsidRPr="003A32FC">
        <w:rPr>
          <w:rFonts w:ascii="Arial" w:eastAsia="Arial" w:hAnsi="Arial" w:cs="Arial"/>
          <w:b/>
          <w:bCs/>
          <w:sz w:val="20"/>
          <w:szCs w:val="20"/>
        </w:rPr>
        <w:t>10/12/2026, às 15:45 horas</w:t>
      </w:r>
      <w:r w:rsidRPr="003A32FC">
        <w:rPr>
          <w:rFonts w:ascii="Arial" w:eastAsia="Arial" w:hAnsi="Arial" w:cs="Arial"/>
          <w:sz w:val="20"/>
          <w:szCs w:val="20"/>
        </w:rPr>
        <w:t xml:space="preserve">, com encerramento </w:t>
      </w:r>
      <w:r w:rsidRPr="003A32FC">
        <w:rPr>
          <w:rFonts w:ascii="Arial" w:eastAsia="Arial" w:hAnsi="Arial" w:cs="Arial"/>
          <w:b/>
          <w:bCs/>
          <w:sz w:val="20"/>
          <w:szCs w:val="20"/>
        </w:rPr>
        <w:t>no dia 15/12/2026, às 15:45 horas</w:t>
      </w:r>
      <w:r w:rsidRPr="003A32FC">
        <w:rPr>
          <w:rFonts w:ascii="Arial" w:eastAsia="Arial" w:hAnsi="Arial" w:cs="Arial"/>
          <w:sz w:val="20"/>
          <w:szCs w:val="20"/>
        </w:rPr>
        <w:t xml:space="preserve">. </w:t>
      </w:r>
      <w:bookmarkEnd w:id="0"/>
      <w:r w:rsidRPr="003A32FC">
        <w:rPr>
          <w:rFonts w:ascii="Arial" w:eastAsia="Arial" w:hAnsi="Arial" w:cs="Arial"/>
          <w:sz w:val="20"/>
          <w:szCs w:val="20"/>
        </w:rPr>
        <w:t xml:space="preserve">Os bens poderão ser arrematados por quem mais ofertar, </w:t>
      </w:r>
      <w:r w:rsidRPr="003A32FC">
        <w:rPr>
          <w:rFonts w:ascii="Arial" w:eastAsia="Arial" w:hAnsi="Arial" w:cs="Arial"/>
          <w:b/>
          <w:bCs/>
          <w:sz w:val="20"/>
          <w:szCs w:val="20"/>
        </w:rPr>
        <w:t>desde que superior a 65% da avaliação (art. 888, § 1º CLT).</w:t>
      </w:r>
    </w:p>
    <w:p w14:paraId="12A85ABA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FAD4F03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3A32FC">
        <w:rPr>
          <w:rFonts w:ascii="Arial" w:eastAsia="Arial" w:hAnsi="Arial" w:cs="Arial"/>
          <w:sz w:val="20"/>
          <w:szCs w:val="20"/>
        </w:rPr>
        <w:t xml:space="preserve"> no endereço eletrônico (site) </w:t>
      </w:r>
      <w:hyperlink r:id="rId4">
        <w:r w:rsidRPr="003A32FC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3A32FC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da leiloeira, situado na Avenida Luiz </w:t>
      </w:r>
      <w:proofErr w:type="spellStart"/>
      <w:r w:rsidRPr="003A32FC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3A32FC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16BD0C34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D89D1F9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  <w:u w:val="single"/>
        </w:rPr>
        <w:t>Leiloeira Pública Oficial/Nomeada:</w:t>
      </w:r>
      <w:r w:rsidRPr="003A32FC">
        <w:rPr>
          <w:rFonts w:ascii="Arial" w:eastAsia="Arial" w:hAnsi="Arial" w:cs="Arial"/>
          <w:sz w:val="20"/>
          <w:szCs w:val="20"/>
        </w:rPr>
        <w:t xml:space="preserve"> </w:t>
      </w:r>
      <w:r w:rsidRPr="003A32FC">
        <w:rPr>
          <w:rFonts w:ascii="Arial" w:eastAsia="Arial" w:hAnsi="Arial" w:cs="Arial"/>
          <w:b/>
          <w:bCs/>
          <w:sz w:val="20"/>
          <w:szCs w:val="20"/>
        </w:rPr>
        <w:t>ELIZABETE UBIALLI</w:t>
      </w:r>
      <w:r w:rsidRPr="003A32FC">
        <w:rPr>
          <w:rFonts w:ascii="Arial" w:eastAsia="Arial" w:hAnsi="Arial" w:cs="Arial"/>
          <w:sz w:val="20"/>
          <w:szCs w:val="20"/>
        </w:rPr>
        <w:t xml:space="preserve"> - matrícula AARC/305 – </w:t>
      </w:r>
      <w:hyperlink r:id="rId5">
        <w:r w:rsidRPr="003A32FC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</w:p>
    <w:p w14:paraId="5B49284E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09C1314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b/>
          <w:bCs/>
          <w:sz w:val="20"/>
          <w:szCs w:val="20"/>
          <w:u w:val="single"/>
        </w:rPr>
        <w:t>Do pagamento:</w:t>
      </w:r>
      <w:r w:rsidRPr="003A32FC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sendo 20% de entrada, a título de sinal e como garantia, sobre o valor da arrematação, e o saldo em até 24 horas, mediante expedição de guia judicial.</w:t>
      </w:r>
    </w:p>
    <w:p w14:paraId="1E949878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5AA01E5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b/>
          <w:bCs/>
          <w:sz w:val="20"/>
          <w:szCs w:val="20"/>
          <w:u w:val="single"/>
        </w:rPr>
        <w:t>Da comissão da leiloeira:</w:t>
      </w:r>
      <w:r w:rsidRPr="003A32FC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da leiloeira, estabelecida em 5% (cinco por cento) do valor da arrematação ou adjudicação.</w:t>
      </w:r>
    </w:p>
    <w:p w14:paraId="261780EA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 xml:space="preserve"> </w:t>
      </w:r>
    </w:p>
    <w:p w14:paraId="6EB958DD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da leiloeira, conforme dispõe o art. 7º, § 3º, da Resolução 236/2016, do CNJ.</w:t>
      </w:r>
    </w:p>
    <w:p w14:paraId="5792F78A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C2F60A5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da leiloeira estipulada no presente Edital.</w:t>
      </w:r>
    </w:p>
    <w:p w14:paraId="009B68EC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514C414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3A32FC">
        <w:rPr>
          <w:rFonts w:ascii="Arial" w:eastAsia="Arial" w:hAnsi="Arial" w:cs="Arial"/>
          <w:sz w:val="20"/>
          <w:szCs w:val="20"/>
        </w:rPr>
        <w:t xml:space="preserve"> O interessado em ofertar lances pela internet deverá, com antecedência mínima de 48 horas, cadastrar-se no site </w:t>
      </w:r>
      <w:hyperlink r:id="rId6">
        <w:r w:rsidRPr="003A32FC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3A32FC">
        <w:rPr>
          <w:rFonts w:ascii="Arial" w:eastAsia="Arial" w:hAnsi="Arial" w:cs="Arial"/>
          <w:sz w:val="20"/>
          <w:szCs w:val="20"/>
        </w:rPr>
        <w:t>, e enviar a documentação que será oportunamente solicitada para homologação do cadastro.</w:t>
      </w:r>
    </w:p>
    <w:p w14:paraId="68B322C2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B495C92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08711CB1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66668FF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>As pessoas físicas e jurídicas que solicitarem o cadastramento online outorgam poderes autorizando à leiloeira oficial a assinar o auto de arrematação.</w:t>
      </w:r>
    </w:p>
    <w:p w14:paraId="51D6EF67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DAB2A7E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>Os lanços eletrônicos poderão ser iniciados a partir do momento em que o presente Edital estiver publicado no site da leiloeira, sendo que estes serão concretizados no ato de sua captação pelo provedor e não no ato da emissão pelo participante. Devido à suscetibilidade de falhas técnicas e variações de naturezas diversas (como velocidade de internet, qualidade da conexão, versão de navegadores etc.) a leiloeira não se responsabiliza por lances ofertados de forma eletrônica. Na hipótese de lances de valores iguais, prevalecerá sempre aquele quem primeiro ofertou.</w:t>
      </w:r>
    </w:p>
    <w:p w14:paraId="6A8A0913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C8B0DEB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lastRenderedPageBreak/>
        <w:t>Aos participantes do leilão não é conferido qualquer tipo de direito em caso de problemas com o servidor, ou mesmo qualquer outra falha técnica que comprometa ou impossibilite a realização do leilão.</w:t>
      </w:r>
    </w:p>
    <w:p w14:paraId="0DA1DF6B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604C6B1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50473E54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82F0809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3A32FC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1F543436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C63C784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 xml:space="preserve">1ª) Por meio do presente, ficam as partes cientificadas da alienação judicial (art. 889, I e § único, do CPC); bem como seus cônjuges, representantes legais e eventuais credores hipotecários, usufrutuários, fiduciários e com penhora anteriormente averbadas, além de eventuais ocupante(s)/detentor(e)s, cientificando também que, caso resulte negativo o leilão, havendo aquiescência das partes, tácita ou expressa, ou ainda falta de manifestação das mesmas no prazo de 05 (cinco) dias, ficará autorizado a leiloeira, no prazo de 1 (um) mês que sucederem ao leilão, a proceder a Venda Direta dos bens cuja oferta tenha resultado negativa no importe não inferior a 65% do valor da avaliação, </w:t>
      </w:r>
      <w:r w:rsidRPr="003A32FC">
        <w:rPr>
          <w:color w:val="EE0000"/>
          <w:sz w:val="18"/>
          <w:szCs w:val="18"/>
        </w:rPr>
        <w:t xml:space="preserve"> </w:t>
      </w:r>
      <w:r w:rsidRPr="003A32FC">
        <w:rPr>
          <w:rFonts w:ascii="Arial" w:eastAsia="Arial" w:hAnsi="Arial" w:cs="Arial"/>
          <w:sz w:val="20"/>
          <w:szCs w:val="20"/>
        </w:rPr>
        <w:t>com possibilidade de pagamento parcelado, observando-se, no que couber, o art. 895 do CPC, nos termos do despacho id 86a67f4;</w:t>
      </w:r>
    </w:p>
    <w:p w14:paraId="1AEA133C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0F09713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intimados da alienação judicial (art. 889, II, III, e V do CPC);</w:t>
      </w:r>
    </w:p>
    <w:p w14:paraId="48E0892C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8FB2B95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>3ª) Os bens serão leiloados e arrematados no estado em que se encontram, não sendo de responsabilidade da leiloeira qualquer divergência eventualmente contida no edital. Ficam cientes os interessados de que a venda será realizada em caráter “ad corpus”,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 documental dos mesmos;</w:t>
      </w:r>
    </w:p>
    <w:p w14:paraId="06C3E1BA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3B753F2" w14:textId="77777777" w:rsidR="00874622" w:rsidRPr="003A32FC" w:rsidRDefault="00874622" w:rsidP="00874622">
      <w:pPr>
        <w:shd w:val="clear" w:color="auto" w:fill="FFFFFF"/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 xml:space="preserve">4ª) Os créditos que recaem sobre o bem, inclusive os de natureza </w:t>
      </w:r>
      <w:proofErr w:type="spellStart"/>
      <w:r w:rsidRPr="003A32FC">
        <w:rPr>
          <w:rFonts w:ascii="Arial" w:eastAsia="Arial" w:hAnsi="Arial" w:cs="Arial"/>
          <w:sz w:val="20"/>
          <w:szCs w:val="20"/>
        </w:rPr>
        <w:t>propter</w:t>
      </w:r>
      <w:proofErr w:type="spellEnd"/>
      <w:r w:rsidRPr="003A32FC">
        <w:rPr>
          <w:rFonts w:ascii="Arial" w:eastAsia="Arial" w:hAnsi="Arial" w:cs="Arial"/>
          <w:sz w:val="20"/>
          <w:szCs w:val="20"/>
        </w:rPr>
        <w:t xml:space="preserve"> rem, sub-rogam-se sobre o respectivo preço, observada a ordem de preferência (art. 908, § 1º, do CPC, art. 122 da Consolidação dos Provimentos da Corregedoria-Geral da Justiça do Trabalho, e art. 130, § único, do CTN. </w:t>
      </w:r>
      <w:r w:rsidRPr="003A32FC">
        <w:rPr>
          <w:rFonts w:ascii="Arial" w:eastAsia="Arial" w:hAnsi="Arial" w:cs="Arial"/>
          <w:sz w:val="20"/>
          <w:szCs w:val="20"/>
          <w:u w:val="single"/>
        </w:rPr>
        <w:t>O adquirente estará isento dos débitos tributários cujo fato gerador seja a propriedade, o domínio útil ou a posse dos bens e direitos adquiridos judicialmente, através de leilão judicial ou iniciativa particular, estejam ou não inscritos na dívida ativa, bem como dos débitos não tributários de natureza “</w:t>
      </w:r>
      <w:proofErr w:type="spellStart"/>
      <w:r w:rsidRPr="003A32FC">
        <w:rPr>
          <w:rFonts w:ascii="Arial" w:eastAsia="Arial" w:hAnsi="Arial" w:cs="Arial"/>
          <w:sz w:val="20"/>
          <w:szCs w:val="20"/>
          <w:u w:val="single"/>
        </w:rPr>
        <w:t>propter</w:t>
      </w:r>
      <w:proofErr w:type="spellEnd"/>
      <w:r w:rsidRPr="003A32FC">
        <w:rPr>
          <w:rFonts w:ascii="Arial" w:eastAsia="Arial" w:hAnsi="Arial" w:cs="Arial"/>
          <w:sz w:val="20"/>
          <w:szCs w:val="20"/>
          <w:u w:val="single"/>
        </w:rPr>
        <w:t xml:space="preserve"> rem” relativos ao referido bem, que se sub-rogarão no preço da aquisição (Consolidação dos Provimentos da CGJT, art. 122)</w:t>
      </w:r>
      <w:r w:rsidRPr="003A32FC">
        <w:rPr>
          <w:rFonts w:ascii="Arial" w:eastAsia="Arial" w:hAnsi="Arial" w:cs="Arial"/>
          <w:sz w:val="20"/>
          <w:szCs w:val="20"/>
        </w:rPr>
        <w:t>.</w:t>
      </w:r>
      <w:r w:rsidRPr="003A32FC">
        <w:rPr>
          <w:rFonts w:ascii="Arial" w:eastAsia="Arial" w:hAnsi="Arial" w:cs="Arial"/>
          <w:color w:val="000000"/>
          <w:sz w:val="20"/>
          <w:szCs w:val="20"/>
        </w:rPr>
        <w:t xml:space="preserve"> Obs.: </w:t>
      </w:r>
      <w:r w:rsidRPr="003A32FC">
        <w:rPr>
          <w:rFonts w:ascii="Arial" w:eastAsia="Arial" w:hAnsi="Arial" w:cs="Arial"/>
          <w:sz w:val="20"/>
          <w:szCs w:val="20"/>
        </w:rPr>
        <w:t>As despesas necessárias à efetivação da transferência dos bens, inclusive o registro da carta junto ao Registro de Imóveis e o cancelamento das demais constrições oriundas de outros processos, deverão ser suportadas pelo adquirente, nos termos do art. 320-G do Provimento nº 149, de 30.08.2023, da Corregedoria Nacional de Justiça.</w:t>
      </w:r>
    </w:p>
    <w:p w14:paraId="4B1C274E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121CC49D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4AF7660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>6ª) As intimações necessárias poderão ser promovidas pela Secretaria por meio do Diário Oficial Eletrônico;</w:t>
      </w:r>
    </w:p>
    <w:p w14:paraId="0A5D3BB0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5C77753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>7ª) Compete à leiloeira tomar as medidas e estabelecer os critérios para o bom funcionamento do leilão;</w:t>
      </w:r>
    </w:p>
    <w:p w14:paraId="40398152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922FC47" w14:textId="77777777" w:rsidR="00874622" w:rsidRPr="003A32FC" w:rsidRDefault="00874622" w:rsidP="00874622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 xml:space="preserve">Demais esclarecimentos, bem como cópias do edital, poderão ser solicitados diretamente pelo site da leiloeira – </w:t>
      </w:r>
      <w:hyperlink r:id="rId7">
        <w:r w:rsidRPr="003A32FC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3A32FC">
        <w:rPr>
          <w:rFonts w:ascii="Arial" w:eastAsia="Arial" w:hAnsi="Arial" w:cs="Arial"/>
          <w:sz w:val="20"/>
          <w:szCs w:val="20"/>
        </w:rPr>
        <w:t>, ou pelo fone: (48) 3437-6115.</w:t>
      </w:r>
    </w:p>
    <w:p w14:paraId="4E3539A9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AF1EAA0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3A32FC">
        <w:rPr>
          <w:rFonts w:ascii="Arial" w:eastAsia="Arial" w:hAnsi="Arial" w:cs="Arial"/>
          <w:b/>
          <w:bCs/>
          <w:sz w:val="20"/>
          <w:szCs w:val="20"/>
        </w:rPr>
        <w:t xml:space="preserve">Processo </w:t>
      </w:r>
      <w:proofErr w:type="spellStart"/>
      <w:r w:rsidRPr="003A32FC">
        <w:rPr>
          <w:rFonts w:ascii="Arial" w:eastAsia="Arial" w:hAnsi="Arial" w:cs="Arial"/>
          <w:b/>
          <w:bCs/>
          <w:sz w:val="20"/>
          <w:szCs w:val="20"/>
        </w:rPr>
        <w:t>PJe</w:t>
      </w:r>
      <w:proofErr w:type="spellEnd"/>
      <w:r w:rsidRPr="003A32FC">
        <w:rPr>
          <w:rFonts w:ascii="Arial" w:eastAsia="Arial" w:hAnsi="Arial" w:cs="Arial"/>
          <w:b/>
          <w:bCs/>
          <w:sz w:val="20"/>
          <w:szCs w:val="20"/>
        </w:rPr>
        <w:t xml:space="preserve"> nº 0002240-72.2012.5.12.0004</w:t>
      </w:r>
    </w:p>
    <w:p w14:paraId="5DC2DAFC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 xml:space="preserve">Exequente(s): </w:t>
      </w:r>
      <w:proofErr w:type="spellStart"/>
      <w:r w:rsidRPr="003A32FC">
        <w:rPr>
          <w:rFonts w:ascii="Arial" w:eastAsia="Arial" w:hAnsi="Arial" w:cs="Arial"/>
          <w:sz w:val="20"/>
          <w:szCs w:val="20"/>
        </w:rPr>
        <w:t>Rejaneci</w:t>
      </w:r>
      <w:proofErr w:type="spellEnd"/>
      <w:r w:rsidRPr="003A32FC">
        <w:rPr>
          <w:rFonts w:ascii="Arial" w:eastAsia="Arial" w:hAnsi="Arial" w:cs="Arial"/>
          <w:sz w:val="20"/>
          <w:szCs w:val="20"/>
        </w:rPr>
        <w:t xml:space="preserve"> dos Santos </w:t>
      </w:r>
      <w:proofErr w:type="spellStart"/>
      <w:r w:rsidRPr="003A32FC">
        <w:rPr>
          <w:rFonts w:ascii="Arial" w:eastAsia="Arial" w:hAnsi="Arial" w:cs="Arial"/>
          <w:sz w:val="20"/>
          <w:szCs w:val="20"/>
        </w:rPr>
        <w:t>Andretta</w:t>
      </w:r>
      <w:proofErr w:type="spellEnd"/>
      <w:r w:rsidRPr="003A32FC">
        <w:rPr>
          <w:rFonts w:ascii="Arial" w:eastAsia="Arial" w:hAnsi="Arial" w:cs="Arial"/>
          <w:sz w:val="20"/>
          <w:szCs w:val="20"/>
        </w:rPr>
        <w:t xml:space="preserve"> e outros (61)</w:t>
      </w:r>
    </w:p>
    <w:p w14:paraId="1757CDE4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>Executado(s): Cartão Joinville Comércio e Serviços de Estacionamento Ltda - ME e outros (6)</w:t>
      </w:r>
    </w:p>
    <w:p w14:paraId="1E825D3A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b/>
          <w:bCs/>
          <w:sz w:val="20"/>
          <w:szCs w:val="20"/>
        </w:rPr>
        <w:t>Bem(</w:t>
      </w:r>
      <w:proofErr w:type="spellStart"/>
      <w:r w:rsidRPr="003A32FC">
        <w:rPr>
          <w:rFonts w:ascii="Arial" w:eastAsia="Arial" w:hAnsi="Arial" w:cs="Arial"/>
          <w:b/>
          <w:bCs/>
          <w:sz w:val="20"/>
          <w:szCs w:val="20"/>
        </w:rPr>
        <w:t>ns</w:t>
      </w:r>
      <w:proofErr w:type="spellEnd"/>
      <w:r w:rsidRPr="003A32FC">
        <w:rPr>
          <w:rFonts w:ascii="Arial" w:eastAsia="Arial" w:hAnsi="Arial" w:cs="Arial"/>
          <w:b/>
          <w:bCs/>
          <w:sz w:val="20"/>
          <w:szCs w:val="20"/>
        </w:rPr>
        <w:t xml:space="preserve">): 01) </w:t>
      </w:r>
      <w:r w:rsidRPr="003A32FC">
        <w:rPr>
          <w:rFonts w:ascii="Arial" w:eastAsia="Arial" w:hAnsi="Arial" w:cs="Arial"/>
          <w:sz w:val="20"/>
          <w:szCs w:val="20"/>
        </w:rPr>
        <w:t xml:space="preserve">01 (um) apartamento nº 900, Edifício Residencial Mário Quintana, localizado no décimo segundo andar, décimo terceiro pavimento, situado na Rua 3500, nº 50, esquina com Avenida Atlântica, centro, Balneário Camboriú/SC, com área privativa principal de 308,020m², área privativa acessória de 0,720m², área privativa total de 308,740m², área uso comum de 106,1027m², perfazendo a área total de 414,8427m²; matriculado sob o nº 65.089 no 2º O.R.I de Balneário Camboriú/SC. Ônus: Indisponibilidade de bens nos autos nº 0001204-42.2024.5.12.0014 que tramita na Secretaria de Execução (SEXEC) do Tribunal Regional do Trabalho da 12ª Região (Florianópolis - SC); penhorado nos autos nº 5001708-73.2022.8.24.0005 que tramita no 2º Juizado Especial Cível da Comarca de Balneário Camboriú/SC; cessão de direitos em favor </w:t>
      </w:r>
      <w:proofErr w:type="spellStart"/>
      <w:r w:rsidRPr="003A32FC">
        <w:rPr>
          <w:rFonts w:ascii="Arial" w:eastAsia="Arial" w:hAnsi="Arial" w:cs="Arial"/>
          <w:sz w:val="20"/>
          <w:szCs w:val="20"/>
        </w:rPr>
        <w:t>Acerth</w:t>
      </w:r>
      <w:proofErr w:type="spellEnd"/>
      <w:r w:rsidRPr="003A32FC">
        <w:rPr>
          <w:rFonts w:ascii="Arial" w:eastAsia="Arial" w:hAnsi="Arial" w:cs="Arial"/>
          <w:sz w:val="20"/>
          <w:szCs w:val="20"/>
        </w:rPr>
        <w:t xml:space="preserve"> Serviços Administrativos Ltda. Avaliado em </w:t>
      </w:r>
      <w:r w:rsidRPr="003A32FC">
        <w:rPr>
          <w:rFonts w:ascii="Arial" w:eastAsia="Arial" w:hAnsi="Arial" w:cs="Arial"/>
          <w:b/>
          <w:bCs/>
          <w:sz w:val="20"/>
          <w:szCs w:val="20"/>
        </w:rPr>
        <w:t>R$ 4.876.689,12</w:t>
      </w:r>
      <w:r w:rsidRPr="003A32FC">
        <w:rPr>
          <w:rFonts w:ascii="Arial" w:eastAsia="Arial" w:hAnsi="Arial" w:cs="Arial"/>
          <w:sz w:val="20"/>
          <w:szCs w:val="20"/>
        </w:rPr>
        <w:t xml:space="preserve">; </w:t>
      </w:r>
      <w:r w:rsidRPr="003A32FC">
        <w:rPr>
          <w:rFonts w:ascii="Arial" w:eastAsia="Arial" w:hAnsi="Arial" w:cs="Arial"/>
          <w:b/>
          <w:bCs/>
          <w:sz w:val="20"/>
          <w:szCs w:val="20"/>
        </w:rPr>
        <w:t>02)</w:t>
      </w:r>
      <w:r w:rsidRPr="003A32FC">
        <w:rPr>
          <w:rFonts w:ascii="Arial" w:eastAsia="Arial" w:hAnsi="Arial" w:cs="Arial"/>
          <w:sz w:val="20"/>
          <w:szCs w:val="20"/>
        </w:rPr>
        <w:t xml:space="preserve"> 01 (uma) vaga de garagem nº 28 do Edifício Residencial Mário Quintana, localizada no terceiro andar, quarto pavimento, situado na Rua 3500, nº 50, esquina com Avenida Atlântica, centro, Balneário Camboriú/SC, com área privativa de 12,500m², área uso comum de 2,1504m²,perfazendo a área total de 14,6504m²; matriculado sob o nº 65.125 no 2º O.R.I de Balneário Camboriú/SC. Ônus: Indisponibilidade de bens nos autos nº 0001204-42.2024.5.12.0014 que tramita na Secretaria de Execução (SEXEC) do Tribunal Regional do Trabalho da 12ª Região (Florianópolis - SC); penhorado nos autos nº 5001708-73.2022.8.24.0005 que tramita no 2º Juizado Especial Cível da Comarca de Balneário Camboriú/SC; cessão de direitos em favor </w:t>
      </w:r>
      <w:proofErr w:type="spellStart"/>
      <w:r w:rsidRPr="003A32FC">
        <w:rPr>
          <w:rFonts w:ascii="Arial" w:eastAsia="Arial" w:hAnsi="Arial" w:cs="Arial"/>
          <w:sz w:val="20"/>
          <w:szCs w:val="20"/>
        </w:rPr>
        <w:t>Acerth</w:t>
      </w:r>
      <w:proofErr w:type="spellEnd"/>
      <w:r w:rsidRPr="003A32FC">
        <w:rPr>
          <w:rFonts w:ascii="Arial" w:eastAsia="Arial" w:hAnsi="Arial" w:cs="Arial"/>
          <w:sz w:val="20"/>
          <w:szCs w:val="20"/>
        </w:rPr>
        <w:t xml:space="preserve"> Serviços Administrativos Ltda. Avaliado em </w:t>
      </w:r>
      <w:r w:rsidRPr="003A32FC">
        <w:rPr>
          <w:rFonts w:ascii="Arial" w:eastAsia="Arial" w:hAnsi="Arial" w:cs="Arial"/>
          <w:b/>
          <w:bCs/>
          <w:sz w:val="20"/>
          <w:szCs w:val="20"/>
        </w:rPr>
        <w:t>R$ 174.849,23</w:t>
      </w:r>
      <w:r w:rsidRPr="003A32FC">
        <w:rPr>
          <w:rFonts w:ascii="Arial" w:eastAsia="Arial" w:hAnsi="Arial" w:cs="Arial"/>
          <w:sz w:val="20"/>
          <w:szCs w:val="20"/>
        </w:rPr>
        <w:t xml:space="preserve">; </w:t>
      </w:r>
      <w:r w:rsidRPr="003A32FC">
        <w:rPr>
          <w:rFonts w:ascii="Arial" w:eastAsia="Arial" w:hAnsi="Arial" w:cs="Arial"/>
          <w:b/>
          <w:bCs/>
          <w:sz w:val="20"/>
          <w:szCs w:val="20"/>
        </w:rPr>
        <w:t>03)</w:t>
      </w:r>
      <w:r w:rsidRPr="003A32FC">
        <w:rPr>
          <w:rFonts w:ascii="Arial" w:eastAsia="Arial" w:hAnsi="Arial" w:cs="Arial"/>
          <w:sz w:val="20"/>
          <w:szCs w:val="20"/>
        </w:rPr>
        <w:t xml:space="preserve"> 01 (uma) vaga de garagem nº 29 do Edifício Residencial Mário Quintana, localizada no terceiro andar, quarto pavimento, situado na Rua 3500, nº 50, esquina com Avenida Atlântica, centro, Balneário Camboriú/SC, com área privativa de 12,500m², área uso comum de 2,1504m², perfazendo a área total de 14,6504m²; matriculado sob o nº 65.126 no 2º O.R.I de Balneário Camboriú/SC. Ônus: Indisponibilidade de bens nos autos nº 0001204-42.2024.5.12.0014 que tramita na Secretaria de Execução (SEXEC) do Tribunal Regional do Trabalho da 12ª Região (Florianópolis - SC); penhorado nos autos nº 5001708-73.2022.8.24.0005, que tramita no 2º Juizado Especial Cível da Comarca de Balneário Camboriú/SC; cessão de direitos em favor </w:t>
      </w:r>
      <w:proofErr w:type="spellStart"/>
      <w:r w:rsidRPr="003A32FC">
        <w:rPr>
          <w:rFonts w:ascii="Arial" w:eastAsia="Arial" w:hAnsi="Arial" w:cs="Arial"/>
          <w:sz w:val="20"/>
          <w:szCs w:val="20"/>
        </w:rPr>
        <w:t>Acerth</w:t>
      </w:r>
      <w:proofErr w:type="spellEnd"/>
      <w:r w:rsidRPr="003A32FC">
        <w:rPr>
          <w:rFonts w:ascii="Arial" w:eastAsia="Arial" w:hAnsi="Arial" w:cs="Arial"/>
          <w:sz w:val="20"/>
          <w:szCs w:val="20"/>
        </w:rPr>
        <w:t xml:space="preserve"> Serviços Administrativos Ltda. Avaliado em </w:t>
      </w:r>
      <w:r w:rsidRPr="003A32FC">
        <w:rPr>
          <w:rFonts w:ascii="Arial" w:eastAsia="Arial" w:hAnsi="Arial" w:cs="Arial"/>
          <w:b/>
          <w:bCs/>
          <w:sz w:val="20"/>
          <w:szCs w:val="20"/>
        </w:rPr>
        <w:t>R$</w:t>
      </w:r>
      <w:r w:rsidRPr="003A32FC">
        <w:rPr>
          <w:rFonts w:ascii="Arial" w:eastAsia="Arial" w:hAnsi="Arial" w:cs="Arial"/>
          <w:sz w:val="20"/>
          <w:szCs w:val="20"/>
        </w:rPr>
        <w:t xml:space="preserve"> </w:t>
      </w:r>
      <w:r w:rsidRPr="003A32FC">
        <w:rPr>
          <w:rFonts w:ascii="Arial" w:eastAsia="Arial" w:hAnsi="Arial" w:cs="Arial"/>
          <w:b/>
          <w:bCs/>
          <w:sz w:val="20"/>
          <w:szCs w:val="20"/>
        </w:rPr>
        <w:t>174.849,23</w:t>
      </w:r>
      <w:r w:rsidRPr="003A32FC">
        <w:rPr>
          <w:rFonts w:ascii="Arial" w:eastAsia="Arial" w:hAnsi="Arial" w:cs="Arial"/>
          <w:sz w:val="20"/>
          <w:szCs w:val="20"/>
        </w:rPr>
        <w:t xml:space="preserve">. Total da avaliação </w:t>
      </w:r>
      <w:r w:rsidRPr="003A32FC">
        <w:rPr>
          <w:rFonts w:ascii="Arial" w:eastAsia="Arial" w:hAnsi="Arial" w:cs="Arial"/>
          <w:b/>
          <w:bCs/>
          <w:sz w:val="20"/>
          <w:szCs w:val="20"/>
        </w:rPr>
        <w:t>R$ 5.226.387,58 (cinco milhões, duzentos e vinte e seis mil, trezentos e oitenta e sete reais e cinquenta e oito centavos).</w:t>
      </w:r>
    </w:p>
    <w:p w14:paraId="0A3F32CB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3A32FC">
        <w:rPr>
          <w:rFonts w:ascii="Arial" w:eastAsia="Arial" w:hAnsi="Arial" w:cs="Arial"/>
          <w:i/>
          <w:iCs/>
          <w:sz w:val="20"/>
          <w:szCs w:val="20"/>
        </w:rPr>
        <w:t>Obs.: a porcentagem mínima para arrematação do bem corresponde a 65% (sessenta e cinco por cento) do valor de avaliação, conforme despacho Id. 86a67f4.</w:t>
      </w:r>
    </w:p>
    <w:p w14:paraId="358C5C7B" w14:textId="77777777" w:rsidR="00874622" w:rsidRPr="003A32FC" w:rsidRDefault="00874622" w:rsidP="00874622">
      <w:pPr>
        <w:spacing w:after="0" w:line="240" w:lineRule="auto"/>
        <w:jc w:val="both"/>
        <w:rPr>
          <w:color w:val="404040"/>
          <w:sz w:val="20"/>
          <w:szCs w:val="20"/>
        </w:rPr>
      </w:pPr>
      <w:r w:rsidRPr="003A32FC">
        <w:rPr>
          <w:rFonts w:ascii="Arial" w:eastAsia="Arial" w:hAnsi="Arial" w:cs="Arial"/>
          <w:i/>
          <w:iCs/>
          <w:sz w:val="20"/>
          <w:szCs w:val="20"/>
        </w:rPr>
        <w:t>Obs.: Nos termos da decisão de Id. 1302c4b, a cessão de direitos constantes nas matrículas dos imóveis é nula, conforme dispõe o art. 9º da CLT, por se tratar de ato praticado com o objetivo de fraudar a aplicação da legislação trabalhista.</w:t>
      </w:r>
    </w:p>
    <w:p w14:paraId="64C4A024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6406D87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0B6B5D3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A32FC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8">
        <w:r w:rsidRPr="003A32FC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3A32FC">
        <w:rPr>
          <w:rFonts w:ascii="Arial" w:eastAsia="Arial" w:hAnsi="Arial" w:cs="Arial"/>
          <w:sz w:val="20"/>
          <w:szCs w:val="20"/>
        </w:rPr>
        <w:t xml:space="preserve">. Maiores informações com a Leiloeira Oficial pelo fone/fax (48) 3437-6115 e/ou pelo endereço: Avenida Luiz </w:t>
      </w:r>
      <w:proofErr w:type="spellStart"/>
      <w:r w:rsidRPr="003A32FC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3A32FC">
        <w:rPr>
          <w:rFonts w:ascii="Arial" w:eastAsia="Arial" w:hAnsi="Arial" w:cs="Arial"/>
          <w:sz w:val="20"/>
          <w:szCs w:val="20"/>
        </w:rPr>
        <w:t xml:space="preserve">, 2.300, Criciúma/SC – site: </w:t>
      </w:r>
      <w:hyperlink r:id="rId9">
        <w:r w:rsidRPr="003A32FC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3A32FC">
        <w:rPr>
          <w:rFonts w:ascii="Arial" w:eastAsia="Arial" w:hAnsi="Arial" w:cs="Arial"/>
          <w:sz w:val="20"/>
          <w:szCs w:val="20"/>
        </w:rPr>
        <w:t>. Florianópolis, 05 de novembro de 2026.</w:t>
      </w:r>
    </w:p>
    <w:p w14:paraId="0C6A3B11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268C5BA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8766681" w14:textId="77777777" w:rsidR="00874622" w:rsidRPr="003A32FC" w:rsidRDefault="00874622" w:rsidP="0087462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1475F52" w14:textId="77777777" w:rsidR="00874622" w:rsidRDefault="00874622" w:rsidP="00874622">
      <w:pPr>
        <w:spacing w:after="0"/>
        <w:jc w:val="center"/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  <w:r w:rsidRPr="003A32FC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Elizabete </w:t>
      </w:r>
      <w:proofErr w:type="spellStart"/>
      <w:r w:rsidRPr="003A32FC">
        <w:rPr>
          <w:rFonts w:ascii="Bookman Old Style" w:eastAsia="Bookman Old Style" w:hAnsi="Bookman Old Style" w:cs="Bookman Old Style"/>
          <w:b/>
          <w:bCs/>
          <w:sz w:val="24"/>
          <w:szCs w:val="24"/>
        </w:rPr>
        <w:t>Ubialli</w:t>
      </w:r>
      <w:proofErr w:type="spellEnd"/>
    </w:p>
    <w:p w14:paraId="4A209B50" w14:textId="77777777" w:rsidR="00874622" w:rsidRDefault="00874622" w:rsidP="00874622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Leiloeira Pública Oficial/SC</w:t>
      </w:r>
    </w:p>
    <w:p w14:paraId="367FD78F" w14:textId="5B2310C8" w:rsidR="001F7318" w:rsidRPr="00874622" w:rsidRDefault="00874622" w:rsidP="00874622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AARC/305</w:t>
      </w:r>
    </w:p>
    <w:sectPr w:rsidR="001F7318" w:rsidRPr="00874622">
      <w:headerReference w:type="default" r:id="rId10"/>
      <w:pgSz w:w="11906" w:h="16838"/>
      <w:pgMar w:top="1702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2C8CC" w14:textId="77777777" w:rsidR="00614EF6" w:rsidRDefault="0087462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1BC8166C" wp14:editId="6610FD2E">
          <wp:simplePos x="0" y="0"/>
          <wp:positionH relativeFrom="column">
            <wp:posOffset>-1066799</wp:posOffset>
          </wp:positionH>
          <wp:positionV relativeFrom="paragraph">
            <wp:posOffset>-448308</wp:posOffset>
          </wp:positionV>
          <wp:extent cx="7559939" cy="10694504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939" cy="10694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22"/>
    <w:rsid w:val="001F7318"/>
    <w:rsid w:val="0087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3FDAD"/>
  <w15:chartTrackingRefBased/>
  <w15:docId w15:val="{ACDE9C38-6DD8-4E04-B2E9-ED7446253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622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entralsuldeleiloes.com.br" TargetMode="External"/><Relationship Id="rId10" Type="http://schemas.openxmlformats.org/officeDocument/2006/relationships/header" Target="header1.xm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hyperlink" Target="http://www.centralsuldeleiloes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1771</Words>
  <Characters>9565</Characters>
  <Application>Microsoft Office Word</Application>
  <DocSecurity>0</DocSecurity>
  <Lines>79</Lines>
  <Paragraphs>22</Paragraphs>
  <ScaleCrop>false</ScaleCrop>
  <Company/>
  <LinksUpToDate>false</LinksUpToDate>
  <CharactersWithSpaces>11314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2026-11-05T12:10:00Z</dcterms:created>
  <dcterms:modified xsi:type="dcterms:W3CDTF">2026-11-05T12:10:00Z</dcterms:modified>
</cp:coreProperties>
</file>